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关于《黔东南州安全生产重大事故隐患挂牌</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督办及治理责任追究暂行办法</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（送审稿)》的起草说明</w:t>
      </w:r>
    </w:p>
    <w:p>
      <w:pPr>
        <w:spacing w:line="700" w:lineRule="exact"/>
        <w:rPr>
          <w:rFonts w:ascii="仿宋_GB2312" w:eastAsia="仿宋_GB2312"/>
          <w:sz w:val="32"/>
          <w:szCs w:val="32"/>
        </w:rPr>
      </w:pPr>
    </w:p>
    <w:p>
      <w:pPr>
        <w:pStyle w:val="2"/>
        <w:shd w:val="clear" w:color="auto" w:fill="FFFFFF"/>
        <w:spacing w:before="0" w:beforeAutospacing="0" w:after="0" w:afterAutospacing="0" w:line="520" w:lineRule="exact"/>
        <w:ind w:firstLine="640" w:firstLineChars="200"/>
        <w:rPr>
          <w:rFonts w:ascii="仿宋_GB2312" w:eastAsia="仿宋_GB2312"/>
          <w:sz w:val="32"/>
          <w:szCs w:val="32"/>
        </w:rPr>
      </w:pPr>
      <w:r>
        <w:rPr>
          <w:rFonts w:hint="eastAsia" w:ascii="仿宋_GB2312" w:eastAsia="仿宋_GB2312"/>
          <w:sz w:val="32"/>
          <w:szCs w:val="32"/>
        </w:rPr>
        <w:t>为加强安全生产重大事故隐患的整改治理工作，州应急局根据《中华人民共和国安全生产法》《贵州省安全生产条例》和《安全生产事故隐患排查治理暂行规定》等法律法规规定，草拟了《黔东南州安全生产重大事故隐患挂牌督办及治理责任追究暂行办法(送审稿)》（以下简称《暂行办法》），现将起草有关情况说明如下：</w:t>
      </w:r>
    </w:p>
    <w:p>
      <w:pPr>
        <w:pStyle w:val="2"/>
        <w:shd w:val="clear" w:color="auto" w:fill="FFFFFF"/>
        <w:spacing w:before="0" w:beforeAutospacing="0" w:after="0" w:afterAutospacing="0" w:line="520" w:lineRule="exact"/>
        <w:ind w:firstLine="640" w:firstLineChars="200"/>
        <w:rPr>
          <w:rFonts w:ascii="黑体" w:hAnsi="黑体" w:eastAsia="黑体"/>
          <w:sz w:val="32"/>
          <w:szCs w:val="32"/>
        </w:rPr>
      </w:pPr>
      <w:r>
        <w:rPr>
          <w:rFonts w:hint="eastAsia" w:ascii="黑体" w:hAnsi="黑体" w:eastAsia="黑体"/>
          <w:sz w:val="32"/>
          <w:szCs w:val="32"/>
        </w:rPr>
        <w:t>一、《暂行办法》主要内容</w:t>
      </w:r>
    </w:p>
    <w:p>
      <w:pPr>
        <w:pStyle w:val="2"/>
        <w:shd w:val="clear" w:color="auto" w:fill="FFFFFF"/>
        <w:spacing w:before="0" w:beforeAutospacing="0" w:after="0" w:afterAutospacing="0" w:line="520" w:lineRule="exact"/>
        <w:ind w:firstLine="640" w:firstLineChars="200"/>
        <w:rPr>
          <w:rFonts w:ascii="仿宋_GB2312" w:eastAsia="仿宋_GB2312"/>
          <w:sz w:val="32"/>
          <w:szCs w:val="32"/>
        </w:rPr>
      </w:pPr>
      <w:r>
        <w:rPr>
          <w:rFonts w:hint="eastAsia" w:ascii="仿宋_GB2312" w:eastAsia="仿宋_GB2312"/>
          <w:sz w:val="32"/>
          <w:szCs w:val="32"/>
        </w:rPr>
        <w:t>《暂行办法》包括总则、挂牌督办程序、组织实施、责任追究及附则5章，共23条，主要规定内容如下：</w:t>
      </w:r>
    </w:p>
    <w:p>
      <w:pPr>
        <w:pStyle w:val="2"/>
        <w:shd w:val="clear" w:color="auto" w:fill="FFFFFF"/>
        <w:spacing w:before="0" w:beforeAutospacing="0" w:after="0" w:afterAutospacing="0" w:line="520" w:lineRule="exact"/>
        <w:ind w:firstLine="643" w:firstLineChars="200"/>
        <w:rPr>
          <w:rFonts w:ascii="仿宋_GB2312" w:eastAsia="仿宋_GB2312"/>
          <w:sz w:val="32"/>
          <w:szCs w:val="32"/>
        </w:rPr>
      </w:pPr>
      <w:r>
        <w:rPr>
          <w:rFonts w:hint="eastAsia" w:ascii="楷体_GB2312" w:hAnsi="黑体" w:eastAsia="楷体_GB2312"/>
          <w:b/>
          <w:sz w:val="32"/>
          <w:szCs w:val="32"/>
        </w:rPr>
        <w:t xml:space="preserve">第一章  总则  </w:t>
      </w:r>
      <w:r>
        <w:rPr>
          <w:rFonts w:hint="eastAsia" w:ascii="仿宋_GB2312" w:eastAsia="仿宋_GB2312"/>
          <w:sz w:val="32"/>
          <w:szCs w:val="32"/>
        </w:rPr>
        <w:t>主要明确《暂行办法》的起草依据、适用范围、重大事故隐患的判定标准、线索来源，以及挂牌督办和整改治理的工作原则等。</w:t>
      </w:r>
    </w:p>
    <w:p>
      <w:pPr>
        <w:pStyle w:val="2"/>
        <w:shd w:val="clear" w:color="auto" w:fill="FFFFFF"/>
        <w:spacing w:before="0" w:beforeAutospacing="0" w:after="0" w:afterAutospacing="0" w:line="520" w:lineRule="exact"/>
        <w:ind w:firstLine="643" w:firstLineChars="200"/>
        <w:rPr>
          <w:rFonts w:ascii="仿宋_GB2312" w:eastAsia="仿宋_GB2312"/>
          <w:sz w:val="32"/>
          <w:szCs w:val="32"/>
        </w:rPr>
      </w:pPr>
      <w:r>
        <w:rPr>
          <w:rFonts w:hint="eastAsia" w:ascii="楷体_GB2312" w:hAnsi="黑体" w:eastAsia="楷体_GB2312"/>
          <w:b/>
          <w:sz w:val="32"/>
          <w:szCs w:val="32"/>
        </w:rPr>
        <w:t xml:space="preserve">第二章  挂牌督办程序  </w:t>
      </w:r>
      <w:r>
        <w:rPr>
          <w:rFonts w:hint="eastAsia" w:ascii="仿宋_GB2312" w:eastAsia="仿宋_GB2312"/>
          <w:sz w:val="32"/>
          <w:szCs w:val="32"/>
        </w:rPr>
        <w:t>主要明确重大事故隐患挂牌督办的主体、范围及挂牌督办的程序、时限等。</w:t>
      </w:r>
    </w:p>
    <w:p>
      <w:pPr>
        <w:pStyle w:val="2"/>
        <w:shd w:val="clear" w:color="auto" w:fill="FFFFFF"/>
        <w:spacing w:before="0" w:beforeAutospacing="0" w:after="0" w:afterAutospacing="0" w:line="520" w:lineRule="exact"/>
        <w:ind w:firstLine="643" w:firstLineChars="200"/>
        <w:rPr>
          <w:rFonts w:ascii="仿宋_GB2312" w:eastAsia="仿宋_GB2312"/>
          <w:sz w:val="32"/>
          <w:szCs w:val="32"/>
        </w:rPr>
      </w:pPr>
      <w:r>
        <w:rPr>
          <w:rFonts w:hint="eastAsia" w:ascii="楷体_GB2312" w:hAnsi="黑体" w:eastAsia="楷体_GB2312"/>
          <w:b/>
          <w:sz w:val="32"/>
          <w:szCs w:val="32"/>
        </w:rPr>
        <w:t xml:space="preserve">第三章  组织实施  </w:t>
      </w:r>
      <w:r>
        <w:rPr>
          <w:rFonts w:hint="eastAsia" w:ascii="仿宋_GB2312" w:eastAsia="仿宋_GB2312"/>
          <w:sz w:val="32"/>
          <w:szCs w:val="32"/>
        </w:rPr>
        <w:t>主要明确被督办单位工作职责、治理任务，以及挂牌督办单位的验收、核销及公告情况。</w:t>
      </w:r>
    </w:p>
    <w:p>
      <w:pPr>
        <w:pStyle w:val="2"/>
        <w:shd w:val="clear" w:color="auto" w:fill="FFFFFF"/>
        <w:spacing w:before="0" w:beforeAutospacing="0" w:after="0" w:afterAutospacing="0" w:line="520" w:lineRule="exact"/>
        <w:ind w:firstLine="643" w:firstLineChars="200"/>
        <w:rPr>
          <w:rFonts w:ascii="仿宋_GB2312" w:hAnsi="黑体" w:eastAsia="仿宋_GB2312" w:cs="黑体"/>
          <w:sz w:val="32"/>
          <w:szCs w:val="32"/>
        </w:rPr>
      </w:pPr>
      <w:r>
        <w:rPr>
          <w:rFonts w:hint="eastAsia" w:ascii="楷体_GB2312" w:hAnsi="黑体" w:eastAsia="楷体_GB2312"/>
          <w:b/>
          <w:sz w:val="32"/>
          <w:szCs w:val="32"/>
        </w:rPr>
        <w:t xml:space="preserve">第四章  责任追究  </w:t>
      </w:r>
      <w:r>
        <w:rPr>
          <w:rFonts w:hint="eastAsia" w:ascii="仿宋_GB2312" w:eastAsia="仿宋_GB2312"/>
          <w:sz w:val="32"/>
          <w:szCs w:val="32"/>
        </w:rPr>
        <w:t>主要明确</w:t>
      </w:r>
      <w:r>
        <w:rPr>
          <w:rFonts w:hint="eastAsia" w:ascii="仿宋_GB2312" w:hAnsi="仿宋" w:eastAsia="仿宋_GB2312"/>
          <w:sz w:val="32"/>
          <w:szCs w:val="32"/>
        </w:rPr>
        <w:t>将重大事故隐患挂牌督办及治理工作纳入年度安全生产绩效目标考核范畴，并根据重大事故隐患治理具体情形，明确对</w:t>
      </w:r>
      <w:r>
        <w:rPr>
          <w:rFonts w:hint="eastAsia" w:ascii="仿宋_GB2312" w:hAnsi="微软雅黑" w:eastAsia="仿宋_GB2312"/>
          <w:sz w:val="32"/>
          <w:szCs w:val="32"/>
        </w:rPr>
        <w:t>被督办单位（分为地方政府及行业监管部门、生产经营单位）及其有关责任人员的责任追究,结合《刑法修正案(十一)》，明确了“</w:t>
      </w:r>
      <w:r>
        <w:rPr>
          <w:rFonts w:hint="eastAsia" w:ascii="仿宋_GB2312" w:hAnsi="黑体" w:eastAsia="仿宋_GB2312" w:cs="黑体"/>
          <w:sz w:val="32"/>
          <w:szCs w:val="32"/>
        </w:rPr>
        <w:t>生产经营单位存在重大事故隐患，被实施停产停业、停止施工、停止使用有关设备（设施、场所）等整顿措施后拒不执行，具有发生重大伤亡事故、其他严重后果的现实危险或者结果的，依法移送司法机关追究相关责任人员刑事责任</w:t>
      </w:r>
      <w:r>
        <w:rPr>
          <w:rFonts w:hint="eastAsia" w:ascii="仿宋_GB2312" w:hAnsi="微软雅黑" w:eastAsia="仿宋_GB2312"/>
          <w:sz w:val="32"/>
          <w:szCs w:val="32"/>
        </w:rPr>
        <w:t>”有关内容。</w:t>
      </w:r>
    </w:p>
    <w:p>
      <w:pPr>
        <w:pStyle w:val="2"/>
        <w:shd w:val="clear" w:color="auto" w:fill="FFFFFF"/>
        <w:spacing w:before="0" w:beforeAutospacing="0" w:after="0" w:afterAutospacing="0" w:line="520" w:lineRule="exact"/>
        <w:ind w:firstLine="643" w:firstLineChars="200"/>
        <w:rPr>
          <w:rFonts w:ascii="仿宋_GB2312" w:hAnsi="仿宋" w:eastAsia="仿宋_GB2312"/>
          <w:sz w:val="32"/>
          <w:szCs w:val="32"/>
        </w:rPr>
      </w:pPr>
      <w:r>
        <w:rPr>
          <w:rFonts w:hint="eastAsia" w:ascii="楷体_GB2312" w:hAnsi="黑体" w:eastAsia="楷体_GB2312"/>
          <w:b/>
          <w:sz w:val="32"/>
          <w:szCs w:val="32"/>
        </w:rPr>
        <w:t xml:space="preserve">第五章 附则  </w:t>
      </w:r>
      <w:r>
        <w:rPr>
          <w:rFonts w:hint="eastAsia" w:ascii="仿宋_GB2312" w:hAnsi="仿宋" w:eastAsia="仿宋_GB2312"/>
          <w:sz w:val="32"/>
          <w:szCs w:val="32"/>
        </w:rPr>
        <w:t>明确了《暂行办法》的解释权和施行时间。 </w:t>
      </w:r>
    </w:p>
    <w:p>
      <w:pPr>
        <w:pStyle w:val="2"/>
        <w:shd w:val="clear" w:color="auto" w:fill="FFFFFF"/>
        <w:spacing w:before="0" w:beforeAutospacing="0" w:after="0" w:afterAutospacing="0" w:line="520" w:lineRule="exact"/>
        <w:ind w:firstLine="640" w:firstLineChars="200"/>
        <w:rPr>
          <w:rFonts w:ascii="黑体" w:hAnsi="黑体" w:eastAsia="黑体"/>
          <w:sz w:val="32"/>
          <w:szCs w:val="32"/>
        </w:rPr>
      </w:pPr>
      <w:r>
        <w:rPr>
          <w:rFonts w:hint="eastAsia" w:ascii="黑体" w:hAnsi="黑体" w:eastAsia="黑体"/>
          <w:sz w:val="32"/>
          <w:szCs w:val="32"/>
        </w:rPr>
        <w:t>二、《暂行办法》征求意见情况</w:t>
      </w:r>
    </w:p>
    <w:p>
      <w:pPr>
        <w:pStyle w:val="2"/>
        <w:shd w:val="clear" w:color="auto" w:fill="FFFFFF"/>
        <w:spacing w:before="0" w:beforeAutospacing="0" w:afterLines="50" w:afterAutospacing="0" w:line="520" w:lineRule="exact"/>
        <w:ind w:firstLine="640" w:firstLineChars="200"/>
        <w:rPr>
          <w:rFonts w:ascii="仿宋_GB2312" w:eastAsia="仿宋_GB2312"/>
          <w:sz w:val="32"/>
          <w:szCs w:val="32"/>
        </w:rPr>
      </w:pPr>
      <w:r>
        <w:rPr>
          <w:rFonts w:hint="eastAsia" w:ascii="仿宋_GB2312" w:eastAsia="仿宋_GB2312"/>
          <w:sz w:val="32"/>
          <w:szCs w:val="32"/>
        </w:rPr>
        <w:t>《暂行办法》在征求州应急局机关各科室（中心）、下属单位修改意见的基础上，于2021年1月15日发文征求各县（市）人民政府和州安委会各成员单位修改意见建议，共收到州委组织部、州纪委办公室、州委编办、州司法局、州交通运输局、州生态环境局、黎平县人民政府等13个单位复函，其他部门和县市逾期未反馈修改意见。13份复函中，9份无修改意见，4份提出相关修改意见建议的单位及意见采纳情况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43"/>
        <w:gridCol w:w="4536"/>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59" w:type="dxa"/>
            <w:vAlign w:val="center"/>
          </w:tcPr>
          <w:p>
            <w:pPr>
              <w:pStyle w:val="2"/>
              <w:spacing w:before="0" w:beforeAutospacing="0" w:after="0" w:afterAutospacing="0"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序号</w:t>
            </w:r>
          </w:p>
        </w:tc>
        <w:tc>
          <w:tcPr>
            <w:tcW w:w="1843" w:type="dxa"/>
            <w:vAlign w:val="center"/>
          </w:tcPr>
          <w:p>
            <w:pPr>
              <w:pStyle w:val="2"/>
              <w:spacing w:before="0" w:beforeAutospacing="0" w:after="0" w:afterAutospacing="0"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提出意见</w:t>
            </w:r>
          </w:p>
          <w:p>
            <w:pPr>
              <w:pStyle w:val="2"/>
              <w:spacing w:before="0" w:beforeAutospacing="0" w:after="0" w:afterAutospacing="0"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单位</w:t>
            </w:r>
          </w:p>
        </w:tc>
        <w:tc>
          <w:tcPr>
            <w:tcW w:w="4536" w:type="dxa"/>
            <w:vAlign w:val="center"/>
          </w:tcPr>
          <w:p>
            <w:pPr>
              <w:pStyle w:val="2"/>
              <w:spacing w:before="0" w:beforeAutospacing="0" w:after="0" w:afterAutospacing="0"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修改意见</w:t>
            </w:r>
          </w:p>
        </w:tc>
        <w:tc>
          <w:tcPr>
            <w:tcW w:w="1722" w:type="dxa"/>
            <w:vAlign w:val="center"/>
          </w:tcPr>
          <w:p>
            <w:pPr>
              <w:pStyle w:val="2"/>
              <w:spacing w:before="0" w:beforeAutospacing="0" w:after="0" w:afterAutospacing="0"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959"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1</w:t>
            </w:r>
          </w:p>
        </w:tc>
        <w:tc>
          <w:tcPr>
            <w:tcW w:w="1843"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州委组织部</w:t>
            </w:r>
          </w:p>
        </w:tc>
        <w:tc>
          <w:tcPr>
            <w:tcW w:w="4536" w:type="dxa"/>
            <w:vAlign w:val="center"/>
          </w:tcPr>
          <w:p>
            <w:pPr>
              <w:pStyle w:val="2"/>
              <w:spacing w:before="0" w:beforeAutospacing="0" w:after="0" w:afterAutospacing="0" w:line="3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建议</w:t>
            </w:r>
            <w:r>
              <w:rPr>
                <w:rFonts w:hint="eastAsia" w:asciiTheme="minorEastAsia" w:hAnsiTheme="minorEastAsia" w:eastAsiaTheme="minorEastAsia"/>
                <w:b/>
              </w:rPr>
              <w:t>删除第二十条</w:t>
            </w:r>
            <w:r>
              <w:rPr>
                <w:rFonts w:hint="eastAsia" w:asciiTheme="minorEastAsia" w:hAnsiTheme="minorEastAsia" w:eastAsiaTheme="minorEastAsia"/>
              </w:rPr>
              <w:t>“被督办单位为地方政府或行业监管部门的，若被督办单位在重大事故隐患挂牌督办及治理工作中存在下列行为之一的，责令作出书面检查、给予通报批评</w:t>
            </w:r>
            <w:r>
              <w:rPr>
                <w:rFonts w:hint="eastAsia" w:asciiTheme="minorEastAsia" w:hAnsiTheme="minorEastAsia" w:eastAsiaTheme="minorEastAsia"/>
                <w:b/>
              </w:rPr>
              <w:t>或警示约谈</w:t>
            </w:r>
            <w:r>
              <w:rPr>
                <w:rFonts w:hint="eastAsia" w:asciiTheme="minorEastAsia" w:hAnsiTheme="minorEastAsia" w:eastAsiaTheme="minorEastAsia"/>
              </w:rPr>
              <w:t>，……”中的</w:t>
            </w:r>
            <w:r>
              <w:rPr>
                <w:rFonts w:hint="eastAsia" w:asciiTheme="minorEastAsia" w:hAnsiTheme="minorEastAsia" w:eastAsiaTheme="minorEastAsia"/>
                <w:b/>
              </w:rPr>
              <w:t>“或警示约谈”</w:t>
            </w:r>
            <w:r>
              <w:rPr>
                <w:rFonts w:hint="eastAsia" w:asciiTheme="minorEastAsia" w:hAnsiTheme="minorEastAsia" w:eastAsiaTheme="minorEastAsia"/>
              </w:rPr>
              <w:t>。</w:t>
            </w:r>
          </w:p>
        </w:tc>
        <w:tc>
          <w:tcPr>
            <w:tcW w:w="1722"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59"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2</w:t>
            </w:r>
          </w:p>
        </w:tc>
        <w:tc>
          <w:tcPr>
            <w:tcW w:w="1843"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黎平县人民政府</w:t>
            </w:r>
          </w:p>
        </w:tc>
        <w:tc>
          <w:tcPr>
            <w:tcW w:w="4536" w:type="dxa"/>
            <w:vAlign w:val="center"/>
          </w:tcPr>
          <w:p>
            <w:pPr>
              <w:pStyle w:val="2"/>
              <w:spacing w:before="0" w:beforeAutospacing="0" w:after="0" w:afterAutospacing="0" w:line="3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建议</w:t>
            </w:r>
            <w:r>
              <w:rPr>
                <w:rFonts w:hint="eastAsia" w:asciiTheme="minorEastAsia" w:hAnsiTheme="minorEastAsia" w:eastAsiaTheme="minorEastAsia"/>
                <w:b/>
              </w:rPr>
              <w:t>将第二十条修改</w:t>
            </w:r>
            <w:r>
              <w:rPr>
                <w:rFonts w:hint="eastAsia" w:asciiTheme="minorEastAsia" w:hAnsiTheme="minorEastAsia" w:eastAsiaTheme="minorEastAsia"/>
              </w:rPr>
              <w:t>为：</w:t>
            </w:r>
            <w:r>
              <w:rPr>
                <w:rFonts w:hint="eastAsia" w:asciiTheme="minorEastAsia" w:hAnsiTheme="minorEastAsia" w:eastAsiaTheme="minorEastAsia"/>
                <w:b/>
              </w:rPr>
              <w:t>被督办单位为地方政府或行业监管部门的，若被督办单位在重大事故隐患挂牌督办及治理工作中存在下列行为之一的，责令作出书面检查、给予通报批评，并给予被督办单位有关责任人员提醒谈话、批评教育、责令检查、诫勉谈话、取消年度考核评先评优资格等处理；情节严重的，提请免去职务或者给予党纪政务处分。</w:t>
            </w:r>
          </w:p>
        </w:tc>
        <w:tc>
          <w:tcPr>
            <w:tcW w:w="1722"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3</w:t>
            </w:r>
          </w:p>
        </w:tc>
        <w:tc>
          <w:tcPr>
            <w:tcW w:w="1843" w:type="dxa"/>
            <w:vMerge w:val="restart"/>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州司法局</w:t>
            </w:r>
          </w:p>
        </w:tc>
        <w:tc>
          <w:tcPr>
            <w:tcW w:w="4536" w:type="dxa"/>
          </w:tcPr>
          <w:p>
            <w:pPr>
              <w:pStyle w:val="2"/>
              <w:spacing w:before="0" w:beforeAutospacing="0" w:after="0" w:afterAutospacing="0" w:line="360" w:lineRule="exact"/>
              <w:ind w:firstLine="480" w:firstLineChars="200"/>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b/>
              </w:rPr>
              <w:t>《暂行办法》不宜由议事协调机构印发，</w:t>
            </w:r>
            <w:r>
              <w:rPr>
                <w:rFonts w:hint="eastAsia" w:asciiTheme="minorEastAsia" w:hAnsiTheme="minorEastAsia" w:eastAsiaTheme="minorEastAsia"/>
              </w:rPr>
              <w:t>应按照 《中华人民共和国安</w:t>
            </w:r>
            <w:r>
              <w:rPr>
                <w:rFonts w:hint="eastAsia" w:asciiTheme="minorEastAsia" w:hAnsiTheme="minorEastAsia" w:eastAsiaTheme="minorEastAsia"/>
                <w:lang w:eastAsia="zh-CN"/>
              </w:rPr>
              <w:t>全</w:t>
            </w:r>
            <w:r>
              <w:rPr>
                <w:rFonts w:hint="eastAsia" w:asciiTheme="minorEastAsia" w:hAnsiTheme="minorEastAsia" w:eastAsiaTheme="minorEastAsia"/>
              </w:rPr>
              <w:t>生产法》第三十八条规定，由负有法定职责的应急主管部门就重大事故隐患治理督办事项，建立全健全相应管理制度。</w:t>
            </w:r>
            <w:r>
              <w:rPr>
                <w:rFonts w:hint="eastAsia" w:asciiTheme="minorEastAsia" w:hAnsiTheme="minorEastAsia" w:eastAsiaTheme="minorEastAsia"/>
                <w:b/>
              </w:rPr>
              <w:t>如需要部署安排对政府部门及其工作人员履职追责问责的，建议就其中涉及监察机关监察职责的部分事项，与监察机关充分协商后确定。</w:t>
            </w:r>
          </w:p>
        </w:tc>
        <w:tc>
          <w:tcPr>
            <w:tcW w:w="1722" w:type="dxa"/>
            <w:vAlign w:val="center"/>
          </w:tcPr>
          <w:p>
            <w:pPr>
              <w:pStyle w:val="2"/>
              <w:spacing w:before="0" w:beforeAutospacing="0" w:after="0" w:afterAutospacing="0" w:line="360" w:lineRule="exact"/>
              <w:ind w:firstLine="480" w:firstLineChars="200"/>
              <w:rPr>
                <w:rFonts w:asciiTheme="minorEastAsia" w:hAnsiTheme="minorEastAsia" w:eastAsiaTheme="minorEastAsia"/>
              </w:rPr>
            </w:pPr>
            <w:r>
              <w:rPr>
                <w:rFonts w:hint="eastAsia" w:asciiTheme="minorEastAsia" w:hAnsiTheme="minorEastAsia" w:eastAsiaTheme="minorEastAsia"/>
              </w:rPr>
              <w:t>1.建议采纳，以州人民政府办公室名义印发。</w:t>
            </w:r>
          </w:p>
          <w:p>
            <w:pPr>
              <w:pStyle w:val="2"/>
              <w:spacing w:before="0" w:beforeAutospacing="0" w:after="0" w:afterAutospacing="0" w:line="360" w:lineRule="exact"/>
              <w:ind w:firstLine="480" w:firstLineChars="200"/>
              <w:rPr>
                <w:rFonts w:asciiTheme="minorEastAsia" w:hAnsiTheme="minorEastAsia" w:eastAsiaTheme="minorEastAsia"/>
              </w:rPr>
            </w:pPr>
            <w:r>
              <w:rPr>
                <w:rFonts w:hint="eastAsia" w:asciiTheme="minorEastAsia" w:hAnsiTheme="minorEastAsia" w:eastAsiaTheme="minorEastAsia"/>
              </w:rPr>
              <w:t>2.经征求州纪委监委意见，州纪委办公室复函无意见。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pStyle w:val="2"/>
              <w:spacing w:before="0" w:beforeAutospacing="0" w:after="0" w:afterAutospacing="0" w:line="360" w:lineRule="exact"/>
              <w:jc w:val="center"/>
              <w:rPr>
                <w:rFonts w:asciiTheme="minorEastAsia" w:hAnsiTheme="minorEastAsia" w:eastAsiaTheme="minorEastAsia"/>
              </w:rPr>
            </w:pPr>
          </w:p>
        </w:tc>
        <w:tc>
          <w:tcPr>
            <w:tcW w:w="1843" w:type="dxa"/>
            <w:vMerge w:val="continue"/>
            <w:vAlign w:val="center"/>
          </w:tcPr>
          <w:p>
            <w:pPr>
              <w:pStyle w:val="2"/>
              <w:spacing w:before="0" w:beforeAutospacing="0" w:after="0" w:afterAutospacing="0" w:line="360" w:lineRule="exact"/>
              <w:jc w:val="center"/>
              <w:rPr>
                <w:rFonts w:asciiTheme="minorEastAsia" w:hAnsiTheme="minorEastAsia" w:eastAsiaTheme="minorEastAsia"/>
              </w:rPr>
            </w:pPr>
          </w:p>
        </w:tc>
        <w:tc>
          <w:tcPr>
            <w:tcW w:w="4536" w:type="dxa"/>
          </w:tcPr>
          <w:p>
            <w:pPr>
              <w:pStyle w:val="2"/>
              <w:spacing w:before="0" w:beforeAutospacing="0" w:after="0" w:afterAutospacing="0" w:line="360" w:lineRule="exact"/>
              <w:ind w:firstLine="480" w:firstLineChars="200"/>
              <w:rPr>
                <w:rFonts w:asciiTheme="minorEastAsia" w:hAnsiTheme="minorEastAsia" w:eastAsiaTheme="minorEastAsia"/>
              </w:rPr>
            </w:pPr>
            <w:r>
              <w:rPr>
                <w:rFonts w:hint="eastAsia" w:asciiTheme="minorEastAsia" w:hAnsiTheme="minorEastAsia" w:eastAsiaTheme="minorEastAsia"/>
              </w:rPr>
              <w:t>2.根据《中华人民共和国安</w:t>
            </w:r>
            <w:r>
              <w:rPr>
                <w:rFonts w:hint="eastAsia" w:asciiTheme="minorEastAsia" w:hAnsiTheme="minorEastAsia" w:eastAsiaTheme="minorEastAsia"/>
                <w:lang w:eastAsia="zh-CN"/>
              </w:rPr>
              <w:t>全</w:t>
            </w:r>
            <w:r>
              <w:rPr>
                <w:rFonts w:hint="eastAsia" w:asciiTheme="minorEastAsia" w:hAnsiTheme="minorEastAsia" w:eastAsiaTheme="minorEastAsia"/>
              </w:rPr>
              <w:t>生产法》第八条、第三十八条、《贵州省安</w:t>
            </w:r>
            <w:r>
              <w:rPr>
                <w:rFonts w:hint="eastAsia" w:asciiTheme="minorEastAsia" w:hAnsiTheme="minorEastAsia" w:eastAsiaTheme="minorEastAsia"/>
                <w:lang w:eastAsia="zh-CN"/>
              </w:rPr>
              <w:t>全</w:t>
            </w:r>
            <w:bookmarkStart w:id="0" w:name="_GoBack"/>
            <w:bookmarkEnd w:id="0"/>
            <w:r>
              <w:rPr>
                <w:rFonts w:hint="eastAsia" w:asciiTheme="minorEastAsia" w:hAnsiTheme="minorEastAsia" w:eastAsiaTheme="minorEastAsia"/>
              </w:rPr>
              <w:t>生产条例》第七条、第三十八条、《安</w:t>
            </w:r>
            <w:r>
              <w:rPr>
                <w:rFonts w:hint="eastAsia" w:asciiTheme="minorEastAsia" w:hAnsiTheme="minorEastAsia" w:eastAsiaTheme="minorEastAsia"/>
                <w:lang w:eastAsia="zh-CN"/>
              </w:rPr>
              <w:t>全</w:t>
            </w:r>
            <w:r>
              <w:rPr>
                <w:rFonts w:hint="eastAsia" w:asciiTheme="minorEastAsia" w:hAnsiTheme="minorEastAsia" w:eastAsiaTheme="minorEastAsia"/>
              </w:rPr>
              <w:t>生产事故隐患排查治理暂行规定》第二条等规定，安全生产事故隐患排查治理职责属负有相应职责的应急主管部门负责实施。</w:t>
            </w:r>
            <w:r>
              <w:rPr>
                <w:rFonts w:hint="eastAsia" w:asciiTheme="minorEastAsia" w:hAnsiTheme="minorEastAsia" w:eastAsiaTheme="minorEastAsia"/>
                <w:b/>
              </w:rPr>
              <w:t>而《暂行办法》拟定的督办及追责问责等措施，由州安委会或州安委办牵头实施，部分超出议事协调机构负有的协调、解决重大问题职责，建议修改。</w:t>
            </w:r>
          </w:p>
        </w:tc>
        <w:tc>
          <w:tcPr>
            <w:tcW w:w="1722" w:type="dxa"/>
            <w:vAlign w:val="center"/>
          </w:tcPr>
          <w:p>
            <w:pPr>
              <w:pStyle w:val="2"/>
              <w:spacing w:before="0" w:beforeAutospacing="0" w:after="0" w:afterAutospacing="0" w:line="360" w:lineRule="exact"/>
              <w:rPr>
                <w:rFonts w:asciiTheme="minorEastAsia" w:hAnsiTheme="minorEastAsia" w:eastAsiaTheme="minorEastAsia"/>
                <w:b/>
              </w:rPr>
            </w:pPr>
            <w:r>
              <w:rPr>
                <w:rFonts w:hint="eastAsia" w:asciiTheme="minorEastAsia" w:hAnsiTheme="minorEastAsia" w:eastAsiaTheme="minorEastAsia"/>
              </w:rPr>
              <w:t>建议采纳,以州人民政府办公室名义印发。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pStyle w:val="2"/>
              <w:spacing w:before="0" w:beforeAutospacing="0" w:after="0" w:afterAutospacing="0" w:line="360" w:lineRule="exact"/>
              <w:jc w:val="center"/>
              <w:rPr>
                <w:rFonts w:asciiTheme="minorEastAsia" w:hAnsiTheme="minorEastAsia" w:eastAsiaTheme="minorEastAsia"/>
              </w:rPr>
            </w:pPr>
          </w:p>
        </w:tc>
        <w:tc>
          <w:tcPr>
            <w:tcW w:w="1843" w:type="dxa"/>
            <w:vMerge w:val="continue"/>
            <w:vAlign w:val="center"/>
          </w:tcPr>
          <w:p>
            <w:pPr>
              <w:pStyle w:val="2"/>
              <w:spacing w:before="0" w:beforeAutospacing="0" w:after="0" w:afterAutospacing="0" w:line="360" w:lineRule="exact"/>
              <w:jc w:val="center"/>
              <w:rPr>
                <w:rFonts w:asciiTheme="minorEastAsia" w:hAnsiTheme="minorEastAsia" w:eastAsiaTheme="minorEastAsia"/>
              </w:rPr>
            </w:pPr>
          </w:p>
        </w:tc>
        <w:tc>
          <w:tcPr>
            <w:tcW w:w="4536" w:type="dxa"/>
          </w:tcPr>
          <w:p>
            <w:pPr>
              <w:widowControl/>
              <w:spacing w:line="360" w:lineRule="exact"/>
              <w:ind w:firstLine="480" w:firstLineChars="200"/>
              <w:jc w:val="left"/>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b/>
                <w:sz w:val="24"/>
                <w:szCs w:val="24"/>
              </w:rPr>
              <w:t>《暂行办法》</w:t>
            </w:r>
            <w:r>
              <w:rPr>
                <w:rFonts w:hint="eastAsia" w:cs="宋体" w:asciiTheme="minorEastAsia" w:hAnsiTheme="minorEastAsia"/>
                <w:b/>
                <w:kern w:val="0"/>
                <w:sz w:val="24"/>
                <w:szCs w:val="24"/>
              </w:rPr>
              <w:t>拟定的涉及生产经营单位的关闭措施、取缔或停产停业措施、行为及法律责任，建议与上位法</w:t>
            </w:r>
            <w:r>
              <w:rPr>
                <w:rFonts w:hint="eastAsia" w:asciiTheme="minorEastAsia" w:hAnsiTheme="minorEastAsia"/>
                <w:b/>
                <w:sz w:val="24"/>
                <w:szCs w:val="24"/>
              </w:rPr>
              <w:t>相关规定一致。</w:t>
            </w:r>
          </w:p>
        </w:tc>
        <w:tc>
          <w:tcPr>
            <w:tcW w:w="1722"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959"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4</w:t>
            </w:r>
          </w:p>
        </w:tc>
        <w:tc>
          <w:tcPr>
            <w:tcW w:w="1843"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州交通运输局</w:t>
            </w:r>
          </w:p>
        </w:tc>
        <w:tc>
          <w:tcPr>
            <w:tcW w:w="4536" w:type="dxa"/>
          </w:tcPr>
          <w:p>
            <w:pPr>
              <w:pStyle w:val="2"/>
              <w:spacing w:before="0" w:beforeAutospacing="0" w:after="0" w:afterAutospacing="0" w:line="360" w:lineRule="exact"/>
              <w:ind w:firstLine="480" w:firstLineChars="200"/>
              <w:rPr>
                <w:rFonts w:asciiTheme="minorEastAsia" w:hAnsiTheme="minorEastAsia" w:eastAsiaTheme="minorEastAsia"/>
              </w:rPr>
            </w:pPr>
            <w:r>
              <w:rPr>
                <w:rFonts w:hint="eastAsia" w:asciiTheme="minorEastAsia" w:hAnsiTheme="minorEastAsia" w:eastAsiaTheme="minorEastAsia"/>
              </w:rPr>
              <w:t>建议在</w:t>
            </w:r>
            <w:r>
              <w:rPr>
                <w:rFonts w:hint="eastAsia" w:asciiTheme="minorEastAsia" w:hAnsiTheme="minorEastAsia" w:eastAsiaTheme="minorEastAsia"/>
                <w:b/>
              </w:rPr>
              <w:t>第八条</w:t>
            </w:r>
            <w:r>
              <w:rPr>
                <w:rFonts w:hint="eastAsia" w:asciiTheme="minorEastAsia" w:hAnsiTheme="minorEastAsia" w:eastAsiaTheme="minorEastAsia"/>
              </w:rPr>
              <w:t>“州级负有安全生产监督管理职责的部门负责监督管理本行业（领域）重大事故隐患治理工作，并对以下重大事故隐患实施挂牌督办”中，</w:t>
            </w:r>
            <w:r>
              <w:rPr>
                <w:rFonts w:hint="eastAsia" w:asciiTheme="minorEastAsia" w:hAnsiTheme="minorEastAsia" w:eastAsiaTheme="minorEastAsia"/>
                <w:b/>
              </w:rPr>
              <w:t>增加：“需有关业务主管部门督促的挂牌督办内容应符合其业务主管部门技术标准”</w:t>
            </w:r>
          </w:p>
        </w:tc>
        <w:tc>
          <w:tcPr>
            <w:tcW w:w="1722" w:type="dxa"/>
            <w:vAlign w:val="center"/>
          </w:tcPr>
          <w:p>
            <w:pPr>
              <w:pStyle w:val="2"/>
              <w:spacing w:before="0" w:beforeAutospacing="0" w:after="0" w:afterAutospacing="0" w:line="360" w:lineRule="exact"/>
              <w:jc w:val="center"/>
              <w:rPr>
                <w:rFonts w:asciiTheme="minorEastAsia" w:hAnsiTheme="minorEastAsia" w:eastAsiaTheme="minorEastAsia"/>
              </w:rPr>
            </w:pPr>
            <w:r>
              <w:rPr>
                <w:rFonts w:hint="eastAsia" w:asciiTheme="minorEastAsia" w:hAnsiTheme="minorEastAsia" w:eastAsiaTheme="minorEastAsia"/>
              </w:rPr>
              <w:t>不予采纳</w:t>
            </w:r>
          </w:p>
        </w:tc>
      </w:tr>
    </w:tbl>
    <w:p>
      <w:pPr>
        <w:pStyle w:val="2"/>
        <w:shd w:val="clear" w:color="auto" w:fill="FFFFFF"/>
        <w:spacing w:beforeLines="50" w:beforeAutospacing="0" w:after="0" w:afterAutospacing="0" w:line="560" w:lineRule="exact"/>
        <w:rPr>
          <w:rFonts w:ascii="仿宋_GB2312" w:eastAsia="仿宋_GB2312"/>
          <w:sz w:val="32"/>
          <w:szCs w:val="32"/>
        </w:rPr>
      </w:pPr>
      <w:r>
        <w:rPr>
          <w:rFonts w:hint="eastAsia" w:ascii="仿宋_GB2312" w:eastAsia="仿宋_GB2312"/>
          <w:sz w:val="32"/>
          <w:szCs w:val="32"/>
        </w:rPr>
        <w:t xml:space="preserve">                                </w:t>
      </w:r>
    </w:p>
    <w:sectPr>
      <w:pgSz w:w="11906" w:h="16838"/>
      <w:pgMar w:top="2098" w:right="1474" w:bottom="1985" w:left="1588"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56E3"/>
    <w:rsid w:val="00040760"/>
    <w:rsid w:val="001E78F2"/>
    <w:rsid w:val="00202268"/>
    <w:rsid w:val="00214C38"/>
    <w:rsid w:val="002D4F3A"/>
    <w:rsid w:val="003C2063"/>
    <w:rsid w:val="003C6DC0"/>
    <w:rsid w:val="0046241D"/>
    <w:rsid w:val="00483461"/>
    <w:rsid w:val="00816886"/>
    <w:rsid w:val="008456E3"/>
    <w:rsid w:val="008D5BFC"/>
    <w:rsid w:val="00984098"/>
    <w:rsid w:val="009B0F31"/>
    <w:rsid w:val="009F7927"/>
    <w:rsid w:val="00A138D8"/>
    <w:rsid w:val="00B119A7"/>
    <w:rsid w:val="00B141B9"/>
    <w:rsid w:val="00B84E5E"/>
    <w:rsid w:val="00B92E82"/>
    <w:rsid w:val="00BE1EC1"/>
    <w:rsid w:val="00C41DB4"/>
    <w:rsid w:val="00D357FE"/>
    <w:rsid w:val="00D84BCB"/>
    <w:rsid w:val="00EC0650"/>
    <w:rsid w:val="00F4081D"/>
    <w:rsid w:val="0A9561B3"/>
    <w:rsid w:val="20AD54D2"/>
    <w:rsid w:val="3D2F70C8"/>
    <w:rsid w:val="589C4B08"/>
    <w:rsid w:val="697B3DAC"/>
    <w:rsid w:val="6B98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268</Words>
  <Characters>1534</Characters>
  <Lines>12</Lines>
  <Paragraphs>3</Paragraphs>
  <TotalTime>195</TotalTime>
  <ScaleCrop>false</ScaleCrop>
  <LinksUpToDate>false</LinksUpToDate>
  <CharactersWithSpaces>1799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2021-02-24T07:25:00Z</dcterms:created>
  <dc:creator>Administrator</dc:creator>
  <cp:lastModifiedBy>江富军</cp:lastModifiedBy>
  <dcterms:modified xsi:type="dcterms:W3CDTF">2021-03-17T06:27:39Z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